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F09C9">
        <w:rPr>
          <w:rFonts w:asciiTheme="majorHAnsi" w:hAnsiTheme="majorHAnsi"/>
          <w:sz w:val="22"/>
          <w:szCs w:val="22"/>
        </w:rPr>
        <w:t xml:space="preserve"> HIV/8400</w:t>
      </w:r>
      <w:proofErr w:type="gramStart"/>
      <w:r w:rsidR="007F09C9">
        <w:rPr>
          <w:rFonts w:asciiTheme="majorHAnsi" w:hAnsiTheme="majorHAnsi"/>
          <w:sz w:val="22"/>
          <w:szCs w:val="22"/>
        </w:rPr>
        <w:t>-</w:t>
      </w:r>
      <w:r w:rsidR="0011457A">
        <w:rPr>
          <w:rFonts w:asciiTheme="majorHAnsi" w:hAnsiTheme="majorHAnsi"/>
          <w:sz w:val="22"/>
          <w:szCs w:val="22"/>
        </w:rPr>
        <w:t xml:space="preserve">  </w:t>
      </w:r>
      <w:r w:rsidR="007F09C9">
        <w:rPr>
          <w:rFonts w:asciiTheme="majorHAnsi" w:hAnsiTheme="majorHAnsi"/>
          <w:sz w:val="22"/>
          <w:szCs w:val="22"/>
        </w:rPr>
        <w:t>/</w:t>
      </w:r>
      <w:proofErr w:type="gramEnd"/>
      <w:r w:rsidR="007F09C9">
        <w:rPr>
          <w:rFonts w:asciiTheme="majorHAnsi" w:hAnsiTheme="majorHAnsi"/>
          <w:sz w:val="22"/>
          <w:szCs w:val="22"/>
        </w:rPr>
        <w:t>2023</w:t>
      </w:r>
    </w:p>
    <w:p w:rsidR="00913C3F" w:rsidRPr="00A9570C" w:rsidRDefault="00863050" w:rsidP="00B6331A">
      <w:pPr>
        <w:spacing w:before="240" w:after="480"/>
        <w:jc w:val="center"/>
        <w:rPr>
          <w:rFonts w:asciiTheme="majorHAnsi" w:hAnsiTheme="majorHAnsi"/>
          <w:color w:val="000000" w:themeColor="text1"/>
          <w:sz w:val="40"/>
          <w:szCs w:val="24"/>
        </w:rPr>
      </w:pPr>
      <w:r w:rsidRPr="00A9570C">
        <w:rPr>
          <w:rFonts w:asciiTheme="majorHAnsi" w:hAnsiTheme="majorHAnsi"/>
          <w:color w:val="000000" w:themeColor="text1"/>
          <w:sz w:val="40"/>
          <w:szCs w:val="24"/>
        </w:rPr>
        <w:t xml:space="preserve">Módosító </w:t>
      </w:r>
      <w:r w:rsidR="00861402" w:rsidRPr="00A9570C">
        <w:rPr>
          <w:rFonts w:asciiTheme="majorHAnsi" w:hAnsiTheme="majorHAnsi"/>
          <w:color w:val="000000" w:themeColor="text1"/>
          <w:sz w:val="40"/>
          <w:szCs w:val="24"/>
        </w:rPr>
        <w:t>okirat</w:t>
      </w:r>
    </w:p>
    <w:p w:rsidR="007F09C9" w:rsidRPr="00A9570C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color w:val="000000" w:themeColor="text1"/>
        </w:rPr>
        <w:t xml:space="preserve">A Teréz Anya Szociális Integrált Intézmény költségvetési szerv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Hévíz Város Önkormányzat által 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23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má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j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us 1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0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napján kiadott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HIV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8400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-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16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23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számú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alapító okiratát az államháztartásról szóló 2011. évi CXCV. törvény 8/A. §- </w:t>
      </w:r>
      <w:proofErr w:type="spellStart"/>
      <w:r w:rsidRPr="00A9570C">
        <w:rPr>
          <w:rFonts w:asciiTheme="majorHAnsi" w:hAnsiTheme="majorHAnsi"/>
          <w:color w:val="000000" w:themeColor="text1"/>
          <w:sz w:val="22"/>
          <w:szCs w:val="24"/>
        </w:rPr>
        <w:t>ra</w:t>
      </w:r>
      <w:proofErr w:type="spellEnd"/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figyelemmel – /2023. (.) határozat alapján - a következők szerint módosítom:</w:t>
      </w:r>
    </w:p>
    <w:p w:rsidR="00325795" w:rsidRPr="00A9570C" w:rsidRDefault="00325795" w:rsidP="00B6331A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F09C9" w:rsidRPr="00A9570C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1.</w:t>
      </w:r>
      <w:r w:rsidR="00D0180F" w:rsidRPr="00A9570C">
        <w:rPr>
          <w:rFonts w:asciiTheme="majorHAnsi" w:hAnsiTheme="majorHAnsi"/>
          <w:b/>
          <w:color w:val="000000" w:themeColor="text1"/>
          <w:sz w:val="22"/>
          <w:szCs w:val="24"/>
        </w:rPr>
        <w:t>2,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p w:rsidR="00856B86" w:rsidRPr="00A9570C" w:rsidRDefault="00856B86" w:rsidP="00856B86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</w:t>
      </w:r>
    </w:p>
    <w:p w:rsidR="00856B86" w:rsidRPr="00A9570C" w:rsidRDefault="00856B86" w:rsidP="00856B86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1.2.1. székhelye: 8380 Hévíz Szent András utca 11/a</w:t>
      </w:r>
    </w:p>
    <w:p w:rsidR="00856B86" w:rsidRPr="00A9570C" w:rsidRDefault="00856B86" w:rsidP="00856B86">
      <w:pPr>
        <w:pStyle w:val="Listaszerbekezds"/>
        <w:tabs>
          <w:tab w:val="left" w:leader="dot" w:pos="9072"/>
        </w:tabs>
        <w:spacing w:before="80" w:after="120"/>
        <w:ind w:left="1224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1.2.2. 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címe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Honvéd utca 2.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Vörösmarty utca 38.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Sugár utca 7.</w:t>
            </w:r>
          </w:p>
        </w:tc>
      </w:tr>
      <w:tr w:rsidR="00856B86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Háziorvosi, Fogorvosi, Gyermekorvosi Rendelők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József Attila utca 2.</w:t>
            </w:r>
          </w:p>
        </w:tc>
      </w:tr>
    </w:tbl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422775" w:rsidRPr="00422775" w:rsidRDefault="00422775" w:rsidP="0042277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bookmarkStart w:id="0" w:name="_Hlk130305794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4.4, pontja helyébe a következő rendelkezés lép:</w:t>
      </w:r>
    </w:p>
    <w:bookmarkEnd w:id="0"/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kormányzati funkció megnevezése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Háziorvosi alapellátás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Fogorvosi alapellátás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Ifjúság-egészségügyi gondozás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Időskorúak tartós bentlakásos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Demens</w:t>
            </w:r>
            <w:proofErr w:type="spellEnd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betegek tartós bentlakásos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Idősek nappali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Demens</w:t>
            </w:r>
            <w:proofErr w:type="spellEnd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betegek nappali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218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  <w:r w:rsidR="008218E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 és gyermekjóléti szolgáltatások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  <w:r w:rsidR="008218E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Szociális étkeztetés szociális konyhán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  <w:r w:rsidR="008218E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 segítségnyújtás</w:t>
            </w:r>
          </w:p>
        </w:tc>
      </w:tr>
      <w:tr w:rsidR="00856B86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lastRenderedPageBreak/>
              <w:t>1</w:t>
            </w:r>
            <w:r w:rsidR="008218E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Jelzőrendszeres házi segítségnyújtás</w:t>
            </w:r>
          </w:p>
        </w:tc>
      </w:tr>
    </w:tbl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4.5</w:t>
      </w:r>
      <w:r w:rsidR="008218EE">
        <w:rPr>
          <w:rFonts w:asciiTheme="majorHAnsi" w:hAnsiTheme="majorHAnsi"/>
          <w:b/>
          <w:color w:val="000000" w:themeColor="text1"/>
          <w:sz w:val="22"/>
          <w:szCs w:val="24"/>
        </w:rPr>
        <w:t>.1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, pontja helyébe a következő rendelkezés lép:</w:t>
      </w:r>
    </w:p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numPr>
          <w:ilvl w:val="1"/>
          <w:numId w:val="17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 illetékessége, működési területe:</w:t>
      </w:r>
    </w:p>
    <w:p w:rsidR="00856B86" w:rsidRPr="00A9570C" w:rsidRDefault="00856B86" w:rsidP="00856B86">
      <w:pPr>
        <w:pStyle w:val="Listaszerbekezds"/>
        <w:ind w:left="1283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F3CD9" w:rsidRPr="00AF3CD9" w:rsidRDefault="00AF3CD9" w:rsidP="00AF3CD9">
      <w:pPr>
        <w:pStyle w:val="Listaszerbekezds"/>
        <w:numPr>
          <w:ilvl w:val="2"/>
          <w:numId w:val="17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AF3CD9">
        <w:rPr>
          <w:rFonts w:asciiTheme="majorHAnsi" w:hAnsiTheme="majorHAnsi"/>
          <w:sz w:val="22"/>
          <w:szCs w:val="22"/>
        </w:rPr>
        <w:t>Alaptevékenység ellátása Hévíz város közigazgatási területén: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étkeztetési szolgáltatás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családsegítés- és gyermekjóléti szolgáltatás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idősek bentlakásos ellátása szolgáltatás (szabad férőhely esetén az ország más települései is)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:rsidR="00AF3CD9" w:rsidRPr="00FF6345" w:rsidRDefault="00AF3CD9" w:rsidP="00AF3CD9">
      <w:pPr>
        <w:pStyle w:val="Listaszerbekezds"/>
        <w:numPr>
          <w:ilvl w:val="0"/>
          <w:numId w:val="36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</w:t>
      </w:r>
    </w:p>
    <w:p w:rsidR="00AF3CD9" w:rsidRDefault="00AF3CD9" w:rsidP="00AF3CD9">
      <w:pPr>
        <w:pStyle w:val="Listaszerbekezds"/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</w:p>
    <w:p w:rsidR="00D24A05" w:rsidRPr="00D24A05" w:rsidRDefault="00D24A05" w:rsidP="00D24A05">
      <w:pPr>
        <w:pStyle w:val="Listaszerbekezds"/>
        <w:jc w:val="both"/>
        <w:rPr>
          <w:rFonts w:asciiTheme="majorHAnsi" w:hAnsiTheme="majorHAnsi"/>
          <w:color w:val="9BBB59" w:themeColor="accent3"/>
          <w:sz w:val="22"/>
          <w:szCs w:val="22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5</w:t>
      </w:r>
      <w:r w:rsidR="008218EE">
        <w:rPr>
          <w:rFonts w:asciiTheme="majorHAnsi" w:hAnsiTheme="majorHAnsi"/>
          <w:b/>
          <w:color w:val="000000" w:themeColor="text1"/>
          <w:sz w:val="22"/>
          <w:szCs w:val="24"/>
        </w:rPr>
        <w:t>.2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, pontja helyébe a következő rendelkezés lép:</w:t>
      </w:r>
    </w:p>
    <w:p w:rsidR="00856B86" w:rsidRPr="00A9570C" w:rsidRDefault="00856B86" w:rsidP="00856B86">
      <w:pPr>
        <w:pStyle w:val="Listaszerbekezds"/>
        <w:spacing w:before="480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856B86" w:rsidRPr="008218EE" w:rsidRDefault="00856B86" w:rsidP="008218EE">
      <w:pPr>
        <w:pStyle w:val="Listaszerbekezds"/>
        <w:numPr>
          <w:ilvl w:val="1"/>
          <w:numId w:val="38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8218EE">
        <w:rPr>
          <w:rFonts w:asciiTheme="majorHAnsi" w:hAnsiTheme="majorHAnsi"/>
          <w:color w:val="000000" w:themeColor="text1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</w:rPr>
            </w:pPr>
            <w:bookmarkStart w:id="1" w:name="_Hlk130306073"/>
          </w:p>
        </w:tc>
        <w:tc>
          <w:tcPr>
            <w:tcW w:w="1692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foglalkoztatási jogviszony</w:t>
            </w:r>
          </w:p>
        </w:tc>
        <w:tc>
          <w:tcPr>
            <w:tcW w:w="3020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jogviszonyt szabályozó jogszabály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1</w:t>
            </w:r>
          </w:p>
        </w:tc>
        <w:tc>
          <w:tcPr>
            <w:tcW w:w="1692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2</w:t>
            </w:r>
          </w:p>
        </w:tc>
        <w:tc>
          <w:tcPr>
            <w:tcW w:w="1692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munka törvénykönyvéről szóló 2012. évi I. törvény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3</w:t>
            </w:r>
          </w:p>
        </w:tc>
        <w:tc>
          <w:tcPr>
            <w:tcW w:w="1692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Polgári Törvénykönyvről szóló 2013. évi V. törvény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</w:rPr>
            </w:pPr>
            <w:r w:rsidRPr="00A9570C">
              <w:rPr>
                <w:rFonts w:asciiTheme="majorHAnsi" w:hAnsiTheme="majorHAnsi"/>
                <w:color w:val="000000" w:themeColor="text1"/>
              </w:rPr>
              <w:t>4</w:t>
            </w:r>
          </w:p>
        </w:tc>
        <w:tc>
          <w:tcPr>
            <w:tcW w:w="1692" w:type="pct"/>
          </w:tcPr>
          <w:p w:rsidR="00856B86" w:rsidRPr="00D7155F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155F">
              <w:rPr>
                <w:rFonts w:asciiTheme="majorHAnsi" w:hAnsiTheme="majorHAnsi"/>
                <w:sz w:val="22"/>
                <w:szCs w:val="22"/>
              </w:rPr>
              <w:t>közfoglalkoztat</w:t>
            </w:r>
            <w:r w:rsidR="002B67A3" w:rsidRPr="00D7155F">
              <w:rPr>
                <w:rFonts w:asciiTheme="majorHAnsi" w:hAnsiTheme="majorHAnsi"/>
                <w:sz w:val="22"/>
                <w:szCs w:val="22"/>
              </w:rPr>
              <w:t>ási</w:t>
            </w:r>
            <w:r w:rsidRPr="00D7155F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856B86" w:rsidRPr="00A9570C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bookmarkEnd w:id="1"/>
    </w:tbl>
    <w:p w:rsidR="00972668" w:rsidRDefault="00972668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56B86">
        <w:rPr>
          <w:rFonts w:asciiTheme="majorHAnsi" w:hAnsiTheme="majorHAnsi"/>
          <w:sz w:val="22"/>
          <w:szCs w:val="22"/>
        </w:rPr>
        <w:t xml:space="preserve">Hévíz, </w:t>
      </w:r>
      <w:r w:rsidR="00E325D8">
        <w:rPr>
          <w:rFonts w:asciiTheme="majorHAnsi" w:hAnsiTheme="majorHAnsi"/>
          <w:sz w:val="22"/>
          <w:szCs w:val="22"/>
        </w:rPr>
        <w:t xml:space="preserve">2023. </w:t>
      </w:r>
      <w:r w:rsidR="00CF19DF">
        <w:rPr>
          <w:rFonts w:asciiTheme="majorHAnsi" w:hAnsiTheme="majorHAnsi"/>
          <w:sz w:val="22"/>
          <w:szCs w:val="22"/>
        </w:rPr>
        <w:t>augusztus 31.</w:t>
      </w:r>
      <w:bookmarkStart w:id="2" w:name="_GoBack"/>
      <w:bookmarkEnd w:id="2"/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P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856B86">
        <w:rPr>
          <w:rFonts w:asciiTheme="majorHAnsi" w:hAnsiTheme="majorHAnsi"/>
          <w:sz w:val="22"/>
          <w:szCs w:val="22"/>
        </w:rPr>
        <w:t>Papp Gábor</w:t>
      </w:r>
    </w:p>
    <w:p w:rsid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41050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p w:rsidR="00FD269E" w:rsidRPr="009A62A6" w:rsidRDefault="00FD269E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FD269E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0CA1279C"/>
    <w:multiLevelType w:val="multilevel"/>
    <w:tmpl w:val="7DA0F22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56A268F"/>
    <w:multiLevelType w:val="multilevel"/>
    <w:tmpl w:val="E4F2B0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0A1541"/>
    <w:multiLevelType w:val="multilevel"/>
    <w:tmpl w:val="2182CA5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FC4D54"/>
    <w:multiLevelType w:val="multilevel"/>
    <w:tmpl w:val="62AE4BA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6" w15:restartNumberingAfterBreak="0">
    <w:nsid w:val="48465DBD"/>
    <w:multiLevelType w:val="multilevel"/>
    <w:tmpl w:val="6C0A1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8E10B58"/>
    <w:multiLevelType w:val="hybridMultilevel"/>
    <w:tmpl w:val="BD4483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C170E7"/>
    <w:multiLevelType w:val="multilevel"/>
    <w:tmpl w:val="53C8B2F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615E1A55"/>
    <w:multiLevelType w:val="multilevel"/>
    <w:tmpl w:val="C10EC66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9227E38"/>
    <w:multiLevelType w:val="hybridMultilevel"/>
    <w:tmpl w:val="FA66BCF0"/>
    <w:lvl w:ilvl="0" w:tplc="A1DCF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6BCD7174"/>
    <w:multiLevelType w:val="hybridMultilevel"/>
    <w:tmpl w:val="63120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35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CD42287"/>
    <w:multiLevelType w:val="hybridMultilevel"/>
    <w:tmpl w:val="CCE89F36"/>
    <w:lvl w:ilvl="0" w:tplc="30AA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8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3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14"/>
  </w:num>
  <w:num w:numId="14">
    <w:abstractNumId w:val="1"/>
  </w:num>
  <w:num w:numId="15">
    <w:abstractNumId w:val="29"/>
  </w:num>
  <w:num w:numId="16">
    <w:abstractNumId w:val="34"/>
  </w:num>
  <w:num w:numId="17">
    <w:abstractNumId w:val="4"/>
  </w:num>
  <w:num w:numId="18">
    <w:abstractNumId w:val="23"/>
  </w:num>
  <w:num w:numId="19">
    <w:abstractNumId w:val="26"/>
  </w:num>
  <w:num w:numId="20">
    <w:abstractNumId w:val="35"/>
  </w:num>
  <w:num w:numId="21">
    <w:abstractNumId w:val="19"/>
  </w:num>
  <w:num w:numId="22">
    <w:abstractNumId w:val="15"/>
  </w:num>
  <w:num w:numId="23">
    <w:abstractNumId w:val="13"/>
  </w:num>
  <w:num w:numId="24">
    <w:abstractNumId w:val="20"/>
  </w:num>
  <w:num w:numId="25">
    <w:abstractNumId w:val="12"/>
  </w:num>
  <w:num w:numId="26">
    <w:abstractNumId w:val="27"/>
  </w:num>
  <w:num w:numId="27">
    <w:abstractNumId w:val="33"/>
  </w:num>
  <w:num w:numId="28">
    <w:abstractNumId w:val="6"/>
  </w:num>
  <w:num w:numId="29">
    <w:abstractNumId w:val="25"/>
  </w:num>
  <w:num w:numId="30">
    <w:abstractNumId w:val="2"/>
  </w:num>
  <w:num w:numId="31">
    <w:abstractNumId w:val="28"/>
  </w:num>
  <w:num w:numId="32">
    <w:abstractNumId w:val="32"/>
  </w:num>
  <w:num w:numId="33">
    <w:abstractNumId w:val="30"/>
  </w:num>
  <w:num w:numId="34">
    <w:abstractNumId w:val="22"/>
  </w:num>
  <w:num w:numId="35">
    <w:abstractNumId w:val="36"/>
  </w:num>
  <w:num w:numId="36">
    <w:abstractNumId w:val="10"/>
  </w:num>
  <w:num w:numId="37">
    <w:abstractNumId w:val="24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300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57A"/>
    <w:rsid w:val="00121664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053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A5F86"/>
    <w:rsid w:val="002B67A3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565B"/>
    <w:rsid w:val="003B554C"/>
    <w:rsid w:val="003C1BD8"/>
    <w:rsid w:val="003C4085"/>
    <w:rsid w:val="003D2F53"/>
    <w:rsid w:val="004048E2"/>
    <w:rsid w:val="00416374"/>
    <w:rsid w:val="00420F7F"/>
    <w:rsid w:val="00422775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25373"/>
    <w:rsid w:val="0055158E"/>
    <w:rsid w:val="00552E25"/>
    <w:rsid w:val="00554432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3134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18EE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D1BDE"/>
    <w:rsid w:val="008D6FD1"/>
    <w:rsid w:val="008F5D2D"/>
    <w:rsid w:val="00912792"/>
    <w:rsid w:val="00913C3F"/>
    <w:rsid w:val="00972668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9570C"/>
    <w:rsid w:val="00AA5CD9"/>
    <w:rsid w:val="00AA5F20"/>
    <w:rsid w:val="00AA6DE6"/>
    <w:rsid w:val="00AB29B5"/>
    <w:rsid w:val="00AD29AE"/>
    <w:rsid w:val="00AD6C1D"/>
    <w:rsid w:val="00AD753A"/>
    <w:rsid w:val="00AF3B6C"/>
    <w:rsid w:val="00AF3CD9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19DF"/>
    <w:rsid w:val="00CF640D"/>
    <w:rsid w:val="00D0180F"/>
    <w:rsid w:val="00D1425B"/>
    <w:rsid w:val="00D14BE9"/>
    <w:rsid w:val="00D21BF9"/>
    <w:rsid w:val="00D23FA1"/>
    <w:rsid w:val="00D24A05"/>
    <w:rsid w:val="00D25860"/>
    <w:rsid w:val="00D34DE0"/>
    <w:rsid w:val="00D41F57"/>
    <w:rsid w:val="00D464AE"/>
    <w:rsid w:val="00D62D4E"/>
    <w:rsid w:val="00D7155F"/>
    <w:rsid w:val="00D842D6"/>
    <w:rsid w:val="00D86BCF"/>
    <w:rsid w:val="00DC274F"/>
    <w:rsid w:val="00DD24AC"/>
    <w:rsid w:val="00DD29AC"/>
    <w:rsid w:val="00E05D21"/>
    <w:rsid w:val="00E13E48"/>
    <w:rsid w:val="00E17534"/>
    <w:rsid w:val="00E325D8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6A435D2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72668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72668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B73C-2CDA-4F3F-A6BC-1587A5D3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5</cp:revision>
  <cp:lastPrinted>2015-10-06T09:17:00Z</cp:lastPrinted>
  <dcterms:created xsi:type="dcterms:W3CDTF">2023-07-12T11:02:00Z</dcterms:created>
  <dcterms:modified xsi:type="dcterms:W3CDTF">2023-08-09T08:11:00Z</dcterms:modified>
</cp:coreProperties>
</file>